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C83A" w14:textId="75D47C8E" w:rsidR="004F39EE" w:rsidRPr="00A068FE" w:rsidRDefault="004F39EE" w:rsidP="004F39EE">
      <w:pPr>
        <w:spacing w:after="0" w:line="240" w:lineRule="auto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72060216" w14:textId="60B0F76E" w:rsidR="00F1387E" w:rsidRPr="00A068FE" w:rsidRDefault="00980597" w:rsidP="004F39EE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Pordenone, 15</w:t>
      </w:r>
      <w:r w:rsidR="00F1387E" w:rsidRPr="00A068FE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dicembre</w:t>
      </w:r>
      <w:r w:rsidR="00F1387E" w:rsidRPr="00A068FE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2020</w:t>
      </w:r>
    </w:p>
    <w:p w14:paraId="6B8B04C5" w14:textId="77777777" w:rsidR="00F1387E" w:rsidRPr="00A068FE" w:rsidRDefault="00F1387E" w:rsidP="00F1387E">
      <w:pPr>
        <w:spacing w:after="0" w:line="240" w:lineRule="auto"/>
        <w:jc w:val="both"/>
        <w:rPr>
          <w:b/>
          <w:color w:val="auto"/>
          <w:sz w:val="22"/>
          <w:szCs w:val="22"/>
        </w:rPr>
      </w:pPr>
    </w:p>
    <w:p w14:paraId="3360F19B" w14:textId="77777777" w:rsidR="00980597" w:rsidRPr="00980597" w:rsidRDefault="00980597" w:rsidP="00980597">
      <w:pPr>
        <w:jc w:val="both"/>
        <w:rPr>
          <w:rFonts w:cstheme="minorHAnsi"/>
          <w:b/>
          <w:color w:val="auto"/>
          <w:sz w:val="28"/>
          <w:szCs w:val="24"/>
        </w:rPr>
      </w:pPr>
      <w:r w:rsidRPr="00980597">
        <w:rPr>
          <w:rFonts w:cstheme="minorHAnsi"/>
          <w:b/>
          <w:color w:val="auto"/>
          <w:sz w:val="28"/>
          <w:szCs w:val="24"/>
        </w:rPr>
        <w:t xml:space="preserve">LO SPAZIO ACCESSIBILE A TUTTI: </w:t>
      </w:r>
      <w:r w:rsidRPr="00980597">
        <w:rPr>
          <w:rFonts w:cstheme="minorHAnsi"/>
          <w:b/>
          <w:i/>
          <w:color w:val="auto"/>
          <w:sz w:val="28"/>
          <w:szCs w:val="24"/>
        </w:rPr>
        <w:t>MADE IN</w:t>
      </w:r>
      <w:r w:rsidRPr="00980597">
        <w:rPr>
          <w:rFonts w:cstheme="minorHAnsi"/>
          <w:b/>
          <w:color w:val="auto"/>
          <w:sz w:val="28"/>
          <w:szCs w:val="24"/>
        </w:rPr>
        <w:t xml:space="preserve"> FRIULI IL SOGNO DIVENTATO REALTÀ DI PRIMALUCELAB.</w:t>
      </w:r>
    </w:p>
    <w:p w14:paraId="2921A81E" w14:textId="77777777" w:rsidR="00980597" w:rsidRPr="00980597" w:rsidRDefault="00980597" w:rsidP="00980597">
      <w:pPr>
        <w:spacing w:after="0" w:line="220" w:lineRule="exact"/>
        <w:ind w:right="-1"/>
        <w:jc w:val="both"/>
        <w:rPr>
          <w:rFonts w:eastAsia="Times New Roman" w:cstheme="minorHAnsi"/>
          <w:b/>
          <w:color w:val="auto"/>
          <w:sz w:val="24"/>
          <w:szCs w:val="24"/>
          <w:lang w:eastAsia="it-IT"/>
        </w:rPr>
      </w:pPr>
      <w:r w:rsidRPr="00980597">
        <w:rPr>
          <w:rFonts w:cstheme="minorHAnsi"/>
          <w:b/>
          <w:color w:val="auto"/>
          <w:sz w:val="24"/>
          <w:szCs w:val="24"/>
        </w:rPr>
        <w:t xml:space="preserve">A sostenere il progetto ora anche Servizi CGN che, con un aumento di capitale, permetterà alla </w:t>
      </w:r>
      <w:proofErr w:type="spellStart"/>
      <w:r w:rsidRPr="00980597">
        <w:rPr>
          <w:rFonts w:cstheme="minorHAnsi"/>
          <w:b/>
          <w:color w:val="auto"/>
          <w:sz w:val="24"/>
          <w:szCs w:val="24"/>
        </w:rPr>
        <w:t>Pmi</w:t>
      </w:r>
      <w:proofErr w:type="spellEnd"/>
      <w:r w:rsidRPr="00980597">
        <w:rPr>
          <w:rFonts w:cstheme="minorHAnsi"/>
          <w:b/>
          <w:color w:val="auto"/>
          <w:sz w:val="24"/>
          <w:szCs w:val="24"/>
        </w:rPr>
        <w:t xml:space="preserve"> </w:t>
      </w:r>
      <w:r w:rsidRPr="00980597">
        <w:rPr>
          <w:rFonts w:eastAsia="Times New Roman" w:cstheme="minorHAnsi"/>
          <w:b/>
          <w:color w:val="auto"/>
          <w:sz w:val="24"/>
          <w:szCs w:val="24"/>
          <w:lang w:eastAsia="it-IT"/>
        </w:rPr>
        <w:t xml:space="preserve">di finanziare un programma di ricerca triennale volto a concretizzare le opportunità offerte dalla </w:t>
      </w:r>
      <w:r w:rsidRPr="00980597">
        <w:rPr>
          <w:rFonts w:eastAsia="Times New Roman" w:cstheme="minorHAnsi"/>
          <w:b/>
          <w:i/>
          <w:color w:val="auto"/>
          <w:sz w:val="24"/>
          <w:szCs w:val="24"/>
          <w:lang w:eastAsia="it-IT"/>
        </w:rPr>
        <w:t>New Space Economy</w:t>
      </w:r>
      <w:r w:rsidRPr="00980597">
        <w:rPr>
          <w:rFonts w:eastAsia="Times New Roman" w:cstheme="minorHAnsi"/>
          <w:b/>
          <w:color w:val="auto"/>
          <w:sz w:val="24"/>
          <w:szCs w:val="24"/>
          <w:lang w:eastAsia="it-IT"/>
        </w:rPr>
        <w:t>.</w:t>
      </w:r>
    </w:p>
    <w:p w14:paraId="0B3B5474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</w:p>
    <w:p w14:paraId="7E23998A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  <w:r w:rsidRPr="00980597">
        <w:rPr>
          <w:rFonts w:cstheme="minorHAnsi"/>
          <w:color w:val="auto"/>
          <w:sz w:val="22"/>
          <w:szCs w:val="22"/>
        </w:rPr>
        <w:t xml:space="preserve">Nasce da un sogno la storia di </w:t>
      </w:r>
      <w:proofErr w:type="spellStart"/>
      <w:r w:rsidRPr="00980597">
        <w:rPr>
          <w:rFonts w:cstheme="minorHAnsi"/>
          <w:color w:val="auto"/>
          <w:sz w:val="22"/>
          <w:szCs w:val="22"/>
        </w:rPr>
        <w:t>PrimaLuceLab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Spa, la </w:t>
      </w:r>
      <w:proofErr w:type="spellStart"/>
      <w:r w:rsidRPr="00980597">
        <w:rPr>
          <w:rFonts w:cstheme="minorHAnsi"/>
          <w:color w:val="auto"/>
          <w:sz w:val="22"/>
          <w:szCs w:val="22"/>
        </w:rPr>
        <w:t>Pmi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innovativa che sette anni fa nel cuore del Polo Tecnologico di Pordenone (in Friuli Venezia Giulia) ha dato il via ad una vera e propria “missione spaziale”: </w:t>
      </w:r>
      <w:r w:rsidRPr="00980597">
        <w:rPr>
          <w:rFonts w:cstheme="minorHAnsi"/>
          <w:b/>
          <w:color w:val="auto"/>
          <w:sz w:val="22"/>
          <w:szCs w:val="22"/>
        </w:rPr>
        <w:t>rendere accessibile a tutti l’esplorazione da remoto del cielo e dei corpi celesti attraverso tecnologie di elevata qualità ma facili da utilizzare</w:t>
      </w:r>
      <w:r w:rsidRPr="00980597">
        <w:rPr>
          <w:rFonts w:cstheme="minorHAnsi"/>
          <w:color w:val="auto"/>
          <w:sz w:val="22"/>
          <w:szCs w:val="22"/>
        </w:rPr>
        <w:t>.</w:t>
      </w:r>
    </w:p>
    <w:p w14:paraId="36C63433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  <w:r w:rsidRPr="00980597">
        <w:rPr>
          <w:rFonts w:cstheme="minorHAnsi"/>
          <w:b/>
          <w:color w:val="auto"/>
          <w:sz w:val="22"/>
          <w:szCs w:val="22"/>
        </w:rPr>
        <w:t>L’idea</w:t>
      </w:r>
      <w:r w:rsidRPr="00980597">
        <w:rPr>
          <w:rFonts w:cstheme="minorHAnsi"/>
          <w:color w:val="auto"/>
          <w:sz w:val="22"/>
          <w:szCs w:val="22"/>
        </w:rPr>
        <w:t xml:space="preserve">, che si inserisce nel processo mondiale di democratizzazione dello spazio, è </w:t>
      </w:r>
      <w:r w:rsidRPr="00980597">
        <w:rPr>
          <w:rFonts w:cstheme="minorHAnsi"/>
          <w:b/>
          <w:color w:val="auto"/>
          <w:sz w:val="22"/>
          <w:szCs w:val="22"/>
        </w:rPr>
        <w:t xml:space="preserve">di due imprenditori e appassionati astrofili, Filippo Bradaschia e Omar </w:t>
      </w:r>
      <w:proofErr w:type="spellStart"/>
      <w:r w:rsidRPr="00980597">
        <w:rPr>
          <w:rFonts w:cstheme="minorHAnsi"/>
          <w:b/>
          <w:color w:val="auto"/>
          <w:sz w:val="22"/>
          <w:szCs w:val="22"/>
        </w:rPr>
        <w:t>Cauz</w:t>
      </w:r>
      <w:proofErr w:type="spellEnd"/>
      <w:r w:rsidRPr="00980597">
        <w:rPr>
          <w:rFonts w:cstheme="minorHAnsi"/>
          <w:b/>
          <w:color w:val="auto"/>
          <w:sz w:val="22"/>
          <w:szCs w:val="22"/>
        </w:rPr>
        <w:t xml:space="preserve"> </w:t>
      </w:r>
      <w:r w:rsidRPr="00980597">
        <w:rPr>
          <w:rFonts w:cstheme="minorHAnsi"/>
          <w:color w:val="auto"/>
          <w:sz w:val="22"/>
          <w:szCs w:val="22"/>
        </w:rPr>
        <w:t xml:space="preserve">che, insieme all’ingegnere Paolo </w:t>
      </w:r>
      <w:proofErr w:type="spellStart"/>
      <w:r w:rsidRPr="00980597">
        <w:rPr>
          <w:rFonts w:cstheme="minorHAnsi"/>
          <w:color w:val="auto"/>
          <w:sz w:val="22"/>
          <w:szCs w:val="22"/>
        </w:rPr>
        <w:t>Cattapan</w:t>
      </w:r>
      <w:proofErr w:type="spellEnd"/>
      <w:r w:rsidRPr="00980597">
        <w:rPr>
          <w:rFonts w:cstheme="minorHAnsi"/>
          <w:color w:val="auto"/>
          <w:sz w:val="22"/>
          <w:szCs w:val="22"/>
        </w:rPr>
        <w:t>, hanno deciso di sviluppare gli strumenti che non trovavano in commercio. Nascono così due linee di prodotti</w:t>
      </w:r>
      <w:r w:rsidRPr="00980597">
        <w:rPr>
          <w:rFonts w:cstheme="minorHAnsi"/>
          <w:b/>
          <w:color w:val="auto"/>
          <w:sz w:val="22"/>
          <w:szCs w:val="22"/>
        </w:rPr>
        <w:t xml:space="preserve">: i radiotelescopi Radio2Space, dedicati al settore dell’istruzione e della ricerca, e gli accessori per telescopi, a marchio </w:t>
      </w:r>
      <w:proofErr w:type="spellStart"/>
      <w:r w:rsidRPr="00980597">
        <w:rPr>
          <w:rFonts w:cstheme="minorHAnsi"/>
          <w:b/>
          <w:color w:val="auto"/>
          <w:sz w:val="22"/>
          <w:szCs w:val="22"/>
        </w:rPr>
        <w:t>PrimaLuceLab</w:t>
      </w:r>
      <w:proofErr w:type="spellEnd"/>
      <w:r w:rsidRPr="00980597">
        <w:rPr>
          <w:rFonts w:cstheme="minorHAnsi"/>
          <w:b/>
          <w:color w:val="auto"/>
          <w:sz w:val="22"/>
          <w:szCs w:val="22"/>
        </w:rPr>
        <w:t>, per il mercato degli amatori</w:t>
      </w:r>
      <w:r w:rsidRPr="00980597">
        <w:rPr>
          <w:rFonts w:cstheme="minorHAnsi"/>
          <w:color w:val="auto"/>
          <w:sz w:val="22"/>
          <w:szCs w:val="22"/>
        </w:rPr>
        <w:t>. E nasce con loro l’unica azienda al mondo oggi in grado di proporre sia telescopi ottici che radiotelescopi professionali ma alla portata di tutti. </w:t>
      </w:r>
    </w:p>
    <w:p w14:paraId="6CCD661C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  <w:r w:rsidRPr="00980597">
        <w:rPr>
          <w:rFonts w:cstheme="minorHAnsi"/>
          <w:color w:val="auto"/>
          <w:sz w:val="22"/>
          <w:szCs w:val="22"/>
        </w:rPr>
        <w:t xml:space="preserve">Dal 2013 ad oggi è un crescendo di </w:t>
      </w:r>
      <w:r w:rsidRPr="00980597">
        <w:rPr>
          <w:rFonts w:cstheme="minorHAnsi"/>
          <w:b/>
          <w:color w:val="auto"/>
          <w:sz w:val="22"/>
          <w:szCs w:val="22"/>
        </w:rPr>
        <w:t>successi</w:t>
      </w:r>
      <w:r w:rsidRPr="00980597">
        <w:rPr>
          <w:rFonts w:cstheme="minorHAnsi"/>
          <w:color w:val="auto"/>
          <w:sz w:val="22"/>
          <w:szCs w:val="22"/>
        </w:rPr>
        <w:t xml:space="preserve"> per la società pordenonese che, da Start-up a </w:t>
      </w:r>
      <w:proofErr w:type="spellStart"/>
      <w:r w:rsidRPr="00980597">
        <w:rPr>
          <w:rFonts w:cstheme="minorHAnsi"/>
          <w:color w:val="auto"/>
          <w:sz w:val="22"/>
          <w:szCs w:val="22"/>
        </w:rPr>
        <w:t>Pmi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innovativa, ha conquistato università, istituti di ricerca, musei scientifici e astrofili di tutto il mondo (utilizzano le apparecchiature di </w:t>
      </w:r>
      <w:proofErr w:type="spellStart"/>
      <w:r w:rsidRPr="00980597">
        <w:rPr>
          <w:rFonts w:cstheme="minorHAnsi"/>
          <w:color w:val="auto"/>
          <w:sz w:val="22"/>
          <w:szCs w:val="22"/>
        </w:rPr>
        <w:t>PrimaLuceLab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ad esempio il Sharjah Academy for </w:t>
      </w:r>
      <w:proofErr w:type="spellStart"/>
      <w:r w:rsidRPr="00980597">
        <w:rPr>
          <w:rFonts w:cstheme="minorHAnsi"/>
          <w:color w:val="auto"/>
          <w:sz w:val="22"/>
          <w:szCs w:val="22"/>
        </w:rPr>
        <w:t>Astronomy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, Space </w:t>
      </w:r>
      <w:proofErr w:type="spellStart"/>
      <w:r w:rsidRPr="00980597">
        <w:rPr>
          <w:rFonts w:cstheme="minorHAnsi"/>
          <w:color w:val="auto"/>
          <w:sz w:val="22"/>
          <w:szCs w:val="22"/>
        </w:rPr>
        <w:t>Sciences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&amp; Technology a Dubai, il South </w:t>
      </w:r>
      <w:proofErr w:type="spellStart"/>
      <w:r w:rsidRPr="00980597">
        <w:rPr>
          <w:rFonts w:cstheme="minorHAnsi"/>
          <w:color w:val="auto"/>
          <w:sz w:val="22"/>
          <w:szCs w:val="22"/>
        </w:rPr>
        <w:t>African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980597">
        <w:rPr>
          <w:rFonts w:cstheme="minorHAnsi"/>
          <w:color w:val="auto"/>
          <w:sz w:val="22"/>
          <w:szCs w:val="22"/>
        </w:rPr>
        <w:t>Astronomical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980597">
        <w:rPr>
          <w:rFonts w:cstheme="minorHAnsi"/>
          <w:color w:val="auto"/>
          <w:sz w:val="22"/>
          <w:szCs w:val="22"/>
        </w:rPr>
        <w:t>Observatory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e il National Radio </w:t>
      </w:r>
      <w:proofErr w:type="spellStart"/>
      <w:r w:rsidRPr="00980597">
        <w:rPr>
          <w:rFonts w:cstheme="minorHAnsi"/>
          <w:color w:val="auto"/>
          <w:sz w:val="22"/>
          <w:szCs w:val="22"/>
        </w:rPr>
        <w:t>Astronomy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</w:t>
      </w:r>
      <w:proofErr w:type="spellStart"/>
      <w:r w:rsidRPr="00980597">
        <w:rPr>
          <w:rFonts w:cstheme="minorHAnsi"/>
          <w:color w:val="auto"/>
          <w:sz w:val="22"/>
          <w:szCs w:val="22"/>
        </w:rPr>
        <w:t>Observatory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degli Stati Uniti). In Italia vi è inoltre una collaborazione attiva con l’IRA, l’istituto italiano di Radioastronomia, con sede a Bologna. Nel 2019 l’azienda ha inoltre chiuso l’anno con un fatturato di quasi due milioni di euro e una crescita media del 40% negli ultimi tre anni. Inaugurata da poco a Porcia (</w:t>
      </w:r>
      <w:proofErr w:type="spellStart"/>
      <w:r w:rsidRPr="00980597">
        <w:rPr>
          <w:rFonts w:cstheme="minorHAnsi"/>
          <w:color w:val="auto"/>
          <w:sz w:val="22"/>
          <w:szCs w:val="22"/>
        </w:rPr>
        <w:t>Pn</w:t>
      </w:r>
      <w:proofErr w:type="spellEnd"/>
      <w:r w:rsidRPr="00980597">
        <w:rPr>
          <w:rFonts w:cstheme="minorHAnsi"/>
          <w:color w:val="auto"/>
          <w:sz w:val="22"/>
          <w:szCs w:val="22"/>
        </w:rPr>
        <w:t>) anche una nuova sede operativa di 1.500 metri quadri, dove trovano spazio gli uffici di progettazione e amministrativi, il laboratorio elettronico e la prima linea di assemblaggio per i grandi radiotelescopi.</w:t>
      </w:r>
    </w:p>
    <w:p w14:paraId="1ED33B5B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  <w:r w:rsidRPr="00980597">
        <w:rPr>
          <w:rFonts w:cstheme="minorHAnsi"/>
          <w:color w:val="auto"/>
          <w:sz w:val="22"/>
          <w:szCs w:val="22"/>
        </w:rPr>
        <w:t xml:space="preserve">Nel 2020 è partita inoltre la </w:t>
      </w:r>
      <w:r w:rsidRPr="00980597">
        <w:rPr>
          <w:rFonts w:cstheme="minorHAnsi"/>
          <w:b/>
          <w:color w:val="auto"/>
          <w:sz w:val="22"/>
          <w:szCs w:val="22"/>
        </w:rPr>
        <w:t>sfida verso le opportunità offerte dalla New Space Economy</w:t>
      </w:r>
      <w:r w:rsidRPr="00980597">
        <w:rPr>
          <w:rFonts w:cstheme="minorHAnsi"/>
          <w:color w:val="auto"/>
          <w:sz w:val="22"/>
          <w:szCs w:val="22"/>
        </w:rPr>
        <w:t xml:space="preserve"> (NSE), un mercato, quello dello spazio, </w:t>
      </w:r>
      <w:r w:rsidRPr="00980597">
        <w:rPr>
          <w:rFonts w:cstheme="minorHAnsi"/>
          <w:b/>
          <w:color w:val="auto"/>
          <w:sz w:val="22"/>
          <w:szCs w:val="22"/>
        </w:rPr>
        <w:t>valutato oggi 350 miliardi di dollari</w:t>
      </w:r>
      <w:r w:rsidRPr="00980597">
        <w:rPr>
          <w:rFonts w:cstheme="minorHAnsi"/>
          <w:color w:val="auto"/>
          <w:sz w:val="22"/>
          <w:szCs w:val="22"/>
        </w:rPr>
        <w:t xml:space="preserve"> e che secondo le stime del Morgan </w:t>
      </w:r>
      <w:proofErr w:type="spellStart"/>
      <w:r w:rsidRPr="00980597">
        <w:rPr>
          <w:rFonts w:cstheme="minorHAnsi"/>
          <w:color w:val="auto"/>
          <w:sz w:val="22"/>
          <w:szCs w:val="22"/>
        </w:rPr>
        <w:t>Stanley’s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Space Team </w:t>
      </w:r>
      <w:r w:rsidRPr="00980597">
        <w:rPr>
          <w:rFonts w:cstheme="minorHAnsi"/>
          <w:b/>
          <w:color w:val="auto"/>
          <w:sz w:val="22"/>
          <w:szCs w:val="22"/>
        </w:rPr>
        <w:t xml:space="preserve">potrebbe raggiungere entro il 2040 il </w:t>
      </w:r>
      <w:proofErr w:type="spellStart"/>
      <w:r w:rsidRPr="00980597">
        <w:rPr>
          <w:rFonts w:cstheme="minorHAnsi"/>
          <w:b/>
          <w:color w:val="auto"/>
          <w:sz w:val="22"/>
          <w:szCs w:val="22"/>
        </w:rPr>
        <w:t>triliardo</w:t>
      </w:r>
      <w:proofErr w:type="spellEnd"/>
      <w:r w:rsidRPr="00980597">
        <w:rPr>
          <w:rFonts w:cstheme="minorHAnsi"/>
          <w:b/>
          <w:color w:val="auto"/>
          <w:sz w:val="22"/>
          <w:szCs w:val="22"/>
        </w:rPr>
        <w:t xml:space="preserve"> di dollari di fatturato</w:t>
      </w:r>
      <w:r w:rsidRPr="00980597">
        <w:rPr>
          <w:rFonts w:cstheme="minorHAnsi"/>
          <w:color w:val="auto"/>
          <w:sz w:val="22"/>
          <w:szCs w:val="22"/>
        </w:rPr>
        <w:t>.</w:t>
      </w:r>
    </w:p>
    <w:p w14:paraId="2898DD37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  <w:shd w:val="clear" w:color="auto" w:fill="FFFFFF"/>
        </w:rPr>
      </w:pPr>
      <w:r w:rsidRPr="00980597">
        <w:rPr>
          <w:rFonts w:cstheme="minorHAnsi"/>
          <w:color w:val="auto"/>
          <w:sz w:val="22"/>
          <w:szCs w:val="22"/>
        </w:rPr>
        <w:t xml:space="preserve">Da qui la ricerca per </w:t>
      </w:r>
      <w:proofErr w:type="spellStart"/>
      <w:r w:rsidRPr="00980597">
        <w:rPr>
          <w:rFonts w:cstheme="minorHAnsi"/>
          <w:color w:val="auto"/>
          <w:sz w:val="22"/>
          <w:szCs w:val="22"/>
        </w:rPr>
        <w:t>PrimaLuceLab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di nuovi finanziatori con un’operazione di </w:t>
      </w:r>
      <w:r w:rsidRPr="00980597">
        <w:rPr>
          <w:rFonts w:cstheme="minorHAnsi"/>
          <w:b/>
          <w:color w:val="auto"/>
          <w:sz w:val="22"/>
          <w:szCs w:val="22"/>
        </w:rPr>
        <w:t>aumento di capitale</w:t>
      </w:r>
      <w:r w:rsidRPr="00980597">
        <w:rPr>
          <w:rFonts w:cstheme="minorHAnsi"/>
          <w:color w:val="auto"/>
          <w:sz w:val="22"/>
          <w:szCs w:val="22"/>
        </w:rPr>
        <w:t xml:space="preserve">, guidata dallo Studio Avvocati </w:t>
      </w:r>
      <w:proofErr w:type="spellStart"/>
      <w:r w:rsidRPr="00980597">
        <w:rPr>
          <w:rFonts w:cstheme="minorHAnsi"/>
          <w:color w:val="auto"/>
          <w:sz w:val="22"/>
          <w:szCs w:val="22"/>
        </w:rPr>
        <w:t>Campeis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, e riservata a nuovi soci. Operazione che si è appena conclusa </w:t>
      </w:r>
      <w:r w:rsidRPr="00980597">
        <w:rPr>
          <w:rFonts w:cstheme="minorHAnsi"/>
          <w:b/>
          <w:color w:val="auto"/>
          <w:sz w:val="22"/>
          <w:szCs w:val="22"/>
        </w:rPr>
        <w:t>con l’ingresso di Servizi CGN</w:t>
      </w:r>
      <w:r w:rsidRPr="00980597">
        <w:rPr>
          <w:rFonts w:cstheme="minorHAnsi"/>
          <w:color w:val="auto"/>
          <w:sz w:val="22"/>
          <w:szCs w:val="22"/>
        </w:rPr>
        <w:t xml:space="preserve">, leader in Italia nel settore della consulenza fiscale e </w:t>
      </w:r>
      <w:proofErr w:type="spellStart"/>
      <w:r w:rsidRPr="00980597">
        <w:rPr>
          <w:rFonts w:cstheme="minorHAnsi"/>
          <w:color w:val="auto"/>
          <w:sz w:val="22"/>
          <w:szCs w:val="22"/>
        </w:rPr>
        <w:t>giuslavoristica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per professionisti, che è entrata nell’azionariato </w:t>
      </w:r>
      <w:r w:rsidRPr="00980597">
        <w:rPr>
          <w:rFonts w:cstheme="minorHAnsi"/>
          <w:b/>
          <w:color w:val="auto"/>
          <w:sz w:val="22"/>
          <w:szCs w:val="22"/>
        </w:rPr>
        <w:t>con una quota del 20%.</w:t>
      </w:r>
      <w:r w:rsidRPr="00980597">
        <w:rPr>
          <w:rFonts w:cstheme="minorHAnsi"/>
          <w:color w:val="auto"/>
          <w:sz w:val="22"/>
          <w:szCs w:val="22"/>
        </w:rPr>
        <w:t xml:space="preserve"> «Da sempre il gruppo Servizi CGN si impegna per la crescita del territorio: per noi </w:t>
      </w:r>
      <w:r w:rsidRPr="00980597">
        <w:rPr>
          <w:rFonts w:cstheme="minorHAnsi"/>
          <w:b/>
          <w:color w:val="auto"/>
          <w:sz w:val="22"/>
          <w:szCs w:val="22"/>
        </w:rPr>
        <w:t>investire in una giovane realtà, in un mercato in pieno sviluppo, significa contribuire a far crescere l’innovazione e portare appunto ricchezza al territorio e al nostro paese</w:t>
      </w:r>
      <w:r w:rsidRPr="00980597">
        <w:rPr>
          <w:rFonts w:cstheme="minorHAnsi"/>
          <w:color w:val="auto"/>
          <w:sz w:val="22"/>
          <w:szCs w:val="22"/>
        </w:rPr>
        <w:t xml:space="preserve">. – spiega </w:t>
      </w:r>
      <w:r w:rsidRPr="00980597">
        <w:rPr>
          <w:rFonts w:cstheme="minorHAnsi"/>
          <w:b/>
          <w:color w:val="auto"/>
          <w:sz w:val="22"/>
          <w:szCs w:val="22"/>
        </w:rPr>
        <w:t xml:space="preserve">Sandro </w:t>
      </w:r>
      <w:proofErr w:type="spellStart"/>
      <w:r w:rsidRPr="00980597">
        <w:rPr>
          <w:rFonts w:cstheme="minorHAnsi"/>
          <w:b/>
          <w:color w:val="auto"/>
          <w:sz w:val="22"/>
          <w:szCs w:val="22"/>
        </w:rPr>
        <w:t>Geretto</w:t>
      </w:r>
      <w:proofErr w:type="spellEnd"/>
      <w:r w:rsidRPr="00980597">
        <w:rPr>
          <w:rFonts w:cstheme="minorHAnsi"/>
          <w:b/>
          <w:color w:val="auto"/>
          <w:sz w:val="22"/>
          <w:szCs w:val="22"/>
        </w:rPr>
        <w:t>, CFO di Servizi CGN</w:t>
      </w:r>
      <w:r w:rsidRPr="00980597">
        <w:rPr>
          <w:rFonts w:cstheme="minorHAnsi"/>
          <w:color w:val="auto"/>
          <w:sz w:val="22"/>
          <w:szCs w:val="22"/>
        </w:rPr>
        <w:t xml:space="preserve"> – Abbiamo ritrovato nei fondatori di questa dinamica e ambiziosa realtà entusiasmo, energia e sogni da realizzare e come per altre giovani aziende del territorio di recente </w:t>
      </w:r>
      <w:r w:rsidRPr="00980597">
        <w:rPr>
          <w:rFonts w:cstheme="minorHAnsi"/>
          <w:color w:val="auto"/>
          <w:sz w:val="22"/>
          <w:szCs w:val="22"/>
        </w:rPr>
        <w:lastRenderedPageBreak/>
        <w:t xml:space="preserve">partecipazione vorremmo contribuire a realizzarli. 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Una scommessa sul futuro, quella della nuova economia dello spazio, rispetto alla quale anche il nostro Paese può avere una centralità in Europa e nel mondo</w:t>
      </w:r>
      <w:r w:rsidRPr="00980597">
        <w:rPr>
          <w:rFonts w:cstheme="minorHAnsi"/>
          <w:color w:val="auto"/>
          <w:sz w:val="22"/>
          <w:szCs w:val="22"/>
        </w:rPr>
        <w:t xml:space="preserve">». </w:t>
      </w:r>
      <w:r w:rsidRPr="00980597">
        <w:rPr>
          <w:rFonts w:cstheme="minorHAnsi"/>
          <w:b/>
          <w:color w:val="auto"/>
          <w:sz w:val="22"/>
          <w:szCs w:val="22"/>
        </w:rPr>
        <w:t>In Italia</w:t>
      </w:r>
      <w:r w:rsidRPr="00980597">
        <w:rPr>
          <w:rFonts w:cstheme="minorHAnsi"/>
          <w:color w:val="auto"/>
          <w:sz w:val="22"/>
          <w:szCs w:val="22"/>
        </w:rPr>
        <w:t xml:space="preserve"> sono già oggi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980597">
        <w:rPr>
          <w:rFonts w:cstheme="minorHAnsi"/>
          <w:b/>
          <w:bCs/>
          <w:color w:val="auto"/>
          <w:sz w:val="22"/>
          <w:szCs w:val="22"/>
          <w:shd w:val="clear" w:color="auto" w:fill="FFFFFF"/>
        </w:rPr>
        <w:t>280 le aziende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> 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 xml:space="preserve">- grandi integratori, </w:t>
      </w:r>
      <w:proofErr w:type="spellStart"/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Pmi</w:t>
      </w:r>
      <w:proofErr w:type="spellEnd"/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 xml:space="preserve"> e Start-up - impegnate su tutta la catena del valore, 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 xml:space="preserve">per un </w:t>
      </w:r>
      <w:r w:rsidRPr="00980597">
        <w:rPr>
          <w:rFonts w:cstheme="minorHAnsi"/>
          <w:b/>
          <w:bCs/>
          <w:color w:val="auto"/>
          <w:sz w:val="22"/>
          <w:szCs w:val="22"/>
          <w:shd w:val="clear" w:color="auto" w:fill="FFFFFF"/>
        </w:rPr>
        <w:t>fatturato totale di circa 2 miliardi di euro e 7 mila addetti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>.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 xml:space="preserve"> </w:t>
      </w:r>
    </w:p>
    <w:p w14:paraId="0B6B4194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  <w:shd w:val="clear" w:color="auto" w:fill="FFFFFF"/>
        </w:rPr>
      </w:pP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A dispetto delle difficoltà che hanno purtroppo caratterizzato il 2020, 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>la New Space Economy ha registrato un incremento del bacino di utenza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, rendendo il mercato spaziale sempre più accessibile per le imprese che hanno l’innovazione nel loro Dna. E anche g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 xml:space="preserve">li investimenti di </w:t>
      </w:r>
      <w:r w:rsidRPr="00980597">
        <w:rPr>
          <w:rFonts w:cstheme="minorHAnsi"/>
          <w:bCs/>
          <w:i/>
          <w:color w:val="auto"/>
          <w:sz w:val="22"/>
          <w:szCs w:val="22"/>
          <w:shd w:val="clear" w:color="auto" w:fill="FFFFFF"/>
        </w:rPr>
        <w:t>venture capital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> 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in campo spaziale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> negli ultimi cinque anni 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sono cresciuti in modo esponenziale, </w:t>
      </w:r>
      <w:r w:rsidRPr="00980597">
        <w:rPr>
          <w:rFonts w:cstheme="minorHAnsi"/>
          <w:bCs/>
          <w:color w:val="auto"/>
          <w:sz w:val="22"/>
          <w:szCs w:val="22"/>
          <w:shd w:val="clear" w:color="auto" w:fill="FFFFFF"/>
        </w:rPr>
        <w:t>superando i 4 miliardi di dollari solo nel 2019</w:t>
      </w:r>
      <w:r w:rsidRPr="00980597">
        <w:rPr>
          <w:rFonts w:cstheme="minorHAnsi"/>
          <w:color w:val="auto"/>
          <w:sz w:val="22"/>
          <w:szCs w:val="22"/>
          <w:shd w:val="clear" w:color="auto" w:fill="FFFFFF"/>
        </w:rPr>
        <w:t>.</w:t>
      </w:r>
    </w:p>
    <w:p w14:paraId="2CBF7FE4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  <w:r w:rsidRPr="00980597">
        <w:rPr>
          <w:rFonts w:cstheme="minorHAnsi"/>
          <w:color w:val="auto"/>
          <w:sz w:val="22"/>
          <w:szCs w:val="22"/>
        </w:rPr>
        <w:t xml:space="preserve">«Abbiamo avviato questo progetto in un </w:t>
      </w:r>
      <w:r w:rsidRPr="00980597">
        <w:rPr>
          <w:rFonts w:cstheme="minorHAnsi"/>
          <w:b/>
          <w:color w:val="auto"/>
          <w:sz w:val="22"/>
          <w:szCs w:val="22"/>
        </w:rPr>
        <w:t>momento storico favorevole</w:t>
      </w:r>
      <w:r w:rsidRPr="00980597">
        <w:rPr>
          <w:rFonts w:cstheme="minorHAnsi"/>
          <w:color w:val="auto"/>
          <w:sz w:val="22"/>
          <w:szCs w:val="22"/>
        </w:rPr>
        <w:t xml:space="preserve">. La “privatizzazione dello </w:t>
      </w:r>
      <w:proofErr w:type="spellStart"/>
      <w:r w:rsidRPr="00980597">
        <w:rPr>
          <w:rFonts w:cstheme="minorHAnsi"/>
          <w:i/>
          <w:color w:val="auto"/>
          <w:sz w:val="22"/>
          <w:szCs w:val="22"/>
        </w:rPr>
        <w:t>space</w:t>
      </w:r>
      <w:proofErr w:type="spellEnd"/>
      <w:r w:rsidRPr="00980597">
        <w:rPr>
          <w:rFonts w:cstheme="minorHAnsi"/>
          <w:i/>
          <w:color w:val="auto"/>
          <w:sz w:val="22"/>
          <w:szCs w:val="22"/>
        </w:rPr>
        <w:t xml:space="preserve"> business</w:t>
      </w:r>
      <w:r w:rsidRPr="00980597">
        <w:rPr>
          <w:rFonts w:cstheme="minorHAnsi"/>
          <w:color w:val="auto"/>
          <w:sz w:val="22"/>
          <w:szCs w:val="22"/>
        </w:rPr>
        <w:t xml:space="preserve">”, un tempo appannaggio delle sole agenzie governative, ha infatti portato ad un uso sempre più intenso di </w:t>
      </w:r>
      <w:r w:rsidRPr="00980597">
        <w:rPr>
          <w:rFonts w:cstheme="minorHAnsi"/>
          <w:bCs/>
          <w:color w:val="auto"/>
          <w:sz w:val="22"/>
          <w:szCs w:val="22"/>
        </w:rPr>
        <w:t>telescopi ottici e radio ci permetterà anche di diventare un punto di riferimento a livello mondiale anche per la comunicazione satellitare, il monitoraggio dei detriti spaziali e il supporto alle missioni spaziali</w:t>
      </w:r>
      <w:r w:rsidRPr="00980597">
        <w:rPr>
          <w:rFonts w:cstheme="minorHAnsi"/>
          <w:color w:val="auto"/>
          <w:sz w:val="22"/>
          <w:szCs w:val="22"/>
        </w:rPr>
        <w:t xml:space="preserve">. – spiega </w:t>
      </w:r>
      <w:r w:rsidRPr="00980597">
        <w:rPr>
          <w:rFonts w:cstheme="minorHAnsi"/>
          <w:b/>
          <w:color w:val="auto"/>
          <w:sz w:val="22"/>
          <w:szCs w:val="22"/>
        </w:rPr>
        <w:t xml:space="preserve">Filippo Bradaschia, presidente di </w:t>
      </w:r>
      <w:proofErr w:type="spellStart"/>
      <w:r w:rsidRPr="00980597">
        <w:rPr>
          <w:rFonts w:cstheme="minorHAnsi"/>
          <w:b/>
          <w:color w:val="auto"/>
          <w:sz w:val="22"/>
          <w:szCs w:val="22"/>
        </w:rPr>
        <w:t>PrimaLuceLab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– Il pesante investimento effettuato dagli USA negli anni ‘60 ha portato non solo allo sbarco dell’uomo sulla Luna ma ha anche generato moltissime ripercussioni sul mondo di tutti i giorni con moltissimi trasferimenti tecnologici. Dopo quegli anni pionieristici, profondi tagli di budget hanno ristretto fortemente tutte le attività spaziali finanziate a livello governativo. Negli ultimi anni abbiamo però assistito ad uno </w:t>
      </w:r>
      <w:r w:rsidRPr="00980597">
        <w:rPr>
          <w:rFonts w:cstheme="minorHAnsi"/>
          <w:b/>
          <w:color w:val="auto"/>
          <w:sz w:val="22"/>
          <w:szCs w:val="22"/>
        </w:rPr>
        <w:t xml:space="preserve">secondo slancio verso lo spazio </w:t>
      </w:r>
      <w:r w:rsidRPr="00980597">
        <w:rPr>
          <w:rFonts w:cstheme="minorHAnsi"/>
          <w:color w:val="auto"/>
          <w:sz w:val="22"/>
          <w:szCs w:val="22"/>
        </w:rPr>
        <w:t xml:space="preserve">sia grazie all’apertura commerciale verso le aziende private, molto più concorrenziali in termini economici, sia per la crescita di molte agenzie governative di paesi in forte espansione economica, come Cina e India. </w:t>
      </w:r>
      <w:r w:rsidRPr="00980597">
        <w:rPr>
          <w:rFonts w:cstheme="minorHAnsi"/>
          <w:b/>
          <w:color w:val="auto"/>
          <w:sz w:val="22"/>
          <w:szCs w:val="22"/>
        </w:rPr>
        <w:t>Oggi tutto il mondo guarda allo spazio e abbiamo la certezza che questo nuovo business cambierà nuovamente le nostre vite</w:t>
      </w:r>
      <w:r w:rsidRPr="00980597">
        <w:rPr>
          <w:rFonts w:cstheme="minorHAnsi"/>
          <w:color w:val="auto"/>
          <w:sz w:val="22"/>
          <w:szCs w:val="22"/>
        </w:rPr>
        <w:t xml:space="preserve">». </w:t>
      </w:r>
    </w:p>
    <w:p w14:paraId="499A1F5A" w14:textId="77777777" w:rsidR="00980597" w:rsidRPr="00980597" w:rsidRDefault="00980597" w:rsidP="0098059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auto"/>
          <w:sz w:val="22"/>
          <w:szCs w:val="22"/>
          <w:lang w:eastAsia="it-IT"/>
        </w:rPr>
      </w:pPr>
      <w:r w:rsidRPr="00980597">
        <w:rPr>
          <w:rFonts w:cstheme="minorHAnsi"/>
          <w:color w:val="auto"/>
          <w:sz w:val="22"/>
          <w:szCs w:val="22"/>
        </w:rPr>
        <w:t xml:space="preserve">Già oggi </w:t>
      </w:r>
      <w:proofErr w:type="spellStart"/>
      <w:r w:rsidRPr="00980597">
        <w:rPr>
          <w:rFonts w:cstheme="minorHAnsi"/>
          <w:color w:val="auto"/>
          <w:sz w:val="22"/>
          <w:szCs w:val="22"/>
        </w:rPr>
        <w:t>PrimaLuceLab</w:t>
      </w:r>
      <w:proofErr w:type="spellEnd"/>
      <w:r w:rsidRPr="00980597">
        <w:rPr>
          <w:rFonts w:cstheme="minorHAnsi"/>
          <w:color w:val="auto"/>
          <w:sz w:val="22"/>
          <w:szCs w:val="22"/>
        </w:rPr>
        <w:t xml:space="preserve"> è in contatto con istituti e agenzie spaziali di tutto il mondo che sono alla ricerca di soluzioni altamente performanti ma dal costo contenuto e alla portata dei più per facilità di utilizzo ed è proprio portando sul mercato la nuova generazione di radiotelescopi professionali ma compatti che offrano un più facile e vantaggioso accesso allo spazio che punta a diventare leader a livello mondiale. </w:t>
      </w:r>
      <w:r w:rsidRPr="00980597">
        <w:rPr>
          <w:rFonts w:eastAsia="Times New Roman" w:cstheme="minorHAnsi"/>
          <w:color w:val="auto"/>
          <w:sz w:val="22"/>
          <w:szCs w:val="22"/>
          <w:lang w:eastAsia="it-IT"/>
        </w:rPr>
        <w:t xml:space="preserve">Ѐ finito il tempo in cui lo spazio era visto solo come un ambito affascinante da esplorare e poco ‘agganciato’ al business, </w:t>
      </w:r>
      <w:r w:rsidRPr="00980597">
        <w:rPr>
          <w:rFonts w:eastAsia="Times New Roman" w:cstheme="minorHAnsi"/>
          <w:bCs/>
          <w:color w:val="auto"/>
          <w:sz w:val="22"/>
          <w:szCs w:val="22"/>
          <w:bdr w:val="none" w:sz="0" w:space="0" w:color="auto" w:frame="1"/>
          <w:lang w:eastAsia="it-IT"/>
        </w:rPr>
        <w:t>lo spazio è già un’economia che genera un giro di affari sempre maggiore.</w:t>
      </w:r>
      <w:r w:rsidRPr="00980597">
        <w:rPr>
          <w:rFonts w:eastAsia="Times New Roman" w:cstheme="minorHAnsi"/>
          <w:color w:val="auto"/>
          <w:sz w:val="22"/>
          <w:szCs w:val="22"/>
          <w:lang w:eastAsia="it-IT"/>
        </w:rPr>
        <w:t> Si stima che per ogni euro investito ci sia un ritorno tra i 6 e gli 11 euro. E pare sia solo l’inizio.</w:t>
      </w:r>
    </w:p>
    <w:p w14:paraId="38B18B26" w14:textId="77777777" w:rsidR="00980597" w:rsidRPr="00980597" w:rsidRDefault="00980597" w:rsidP="00980597">
      <w:pPr>
        <w:jc w:val="both"/>
        <w:rPr>
          <w:rFonts w:cstheme="minorHAnsi"/>
          <w:color w:val="auto"/>
          <w:sz w:val="22"/>
          <w:szCs w:val="22"/>
        </w:rPr>
      </w:pPr>
    </w:p>
    <w:p w14:paraId="0E340746" w14:textId="77777777" w:rsidR="00980597" w:rsidRPr="00980597" w:rsidRDefault="00980597" w:rsidP="00980597">
      <w:pPr>
        <w:jc w:val="both"/>
        <w:rPr>
          <w:rFonts w:cstheme="minorHAnsi"/>
          <w:color w:val="auto"/>
        </w:rPr>
      </w:pPr>
    </w:p>
    <w:p w14:paraId="7D07D36E" w14:textId="77777777" w:rsidR="00980597" w:rsidRPr="00980597" w:rsidRDefault="00980597" w:rsidP="00980597">
      <w:pPr>
        <w:jc w:val="both"/>
        <w:rPr>
          <w:rFonts w:cstheme="minorHAnsi"/>
          <w:color w:val="auto"/>
        </w:rPr>
      </w:pPr>
    </w:p>
    <w:p w14:paraId="0ECAD913" w14:textId="456C4031" w:rsidR="00980597" w:rsidRPr="00980597" w:rsidRDefault="00980597" w:rsidP="00980597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bookmarkStart w:id="0" w:name="_GoBack"/>
      <w:bookmarkEnd w:id="0"/>
    </w:p>
    <w:p w14:paraId="070DC060" w14:textId="77777777" w:rsidR="00980597" w:rsidRPr="00980597" w:rsidRDefault="00980597" w:rsidP="00980597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695A8AB0" w14:textId="77777777" w:rsidR="004B6F05" w:rsidRPr="00A068FE" w:rsidRDefault="004B6F05" w:rsidP="00860728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A068FE">
        <w:rPr>
          <w:rFonts w:eastAsia="Times New Roman" w:cstheme="minorHAnsi"/>
          <w:b/>
          <w:color w:val="auto"/>
          <w:kern w:val="0"/>
          <w:sz w:val="22"/>
          <w:szCs w:val="22"/>
          <w:lang w:eastAsia="it-IT"/>
        </w:rPr>
        <w:t>GRUPPO SERVIZI CGN IN NUMERI</w:t>
      </w:r>
    </w:p>
    <w:p w14:paraId="51877FD1" w14:textId="61A2598D" w:rsidR="004B6F05" w:rsidRPr="00A068FE" w:rsidRDefault="004B6F05" w:rsidP="0086072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auto"/>
          <w:sz w:val="22"/>
          <w:szCs w:val="22"/>
        </w:rPr>
      </w:pPr>
      <w:r w:rsidRPr="00A068FE">
        <w:rPr>
          <w:rFonts w:cstheme="minorHAnsi"/>
          <w:color w:val="auto"/>
          <w:sz w:val="22"/>
          <w:szCs w:val="22"/>
        </w:rPr>
        <w:t>Primo gruppo nel mercato italiano della consulenza fiscale</w:t>
      </w:r>
      <w:r w:rsidR="00E5414D" w:rsidRPr="00A068FE">
        <w:rPr>
          <w:rFonts w:cstheme="minorHAnsi"/>
          <w:color w:val="auto"/>
          <w:sz w:val="22"/>
          <w:szCs w:val="22"/>
        </w:rPr>
        <w:t xml:space="preserve"> e </w:t>
      </w:r>
      <w:proofErr w:type="spellStart"/>
      <w:r w:rsidR="00E5414D" w:rsidRPr="00A068FE">
        <w:rPr>
          <w:rFonts w:cstheme="minorHAnsi"/>
          <w:color w:val="auto"/>
          <w:sz w:val="22"/>
          <w:szCs w:val="22"/>
        </w:rPr>
        <w:t>giuslavoristica</w:t>
      </w:r>
      <w:proofErr w:type="spellEnd"/>
      <w:r w:rsidR="00E5414D" w:rsidRPr="00A068FE">
        <w:rPr>
          <w:rFonts w:cstheme="minorHAnsi"/>
          <w:color w:val="auto"/>
          <w:sz w:val="22"/>
          <w:szCs w:val="22"/>
        </w:rPr>
        <w:t xml:space="preserve"> b2b (oltre 25</w:t>
      </w:r>
      <w:r w:rsidRPr="00A068FE">
        <w:rPr>
          <w:rFonts w:cstheme="minorHAnsi"/>
          <w:color w:val="auto"/>
          <w:sz w:val="22"/>
          <w:szCs w:val="22"/>
        </w:rPr>
        <w:t xml:space="preserve"> mila uffici autorizzati </w:t>
      </w:r>
      <w:proofErr w:type="spellStart"/>
      <w:r w:rsidRPr="00A068FE">
        <w:rPr>
          <w:rFonts w:cstheme="minorHAnsi"/>
          <w:color w:val="auto"/>
          <w:sz w:val="22"/>
          <w:szCs w:val="22"/>
        </w:rPr>
        <w:t>Caf</w:t>
      </w:r>
      <w:proofErr w:type="spellEnd"/>
      <w:r w:rsidRPr="00A068FE">
        <w:rPr>
          <w:rFonts w:cstheme="minorHAnsi"/>
          <w:color w:val="auto"/>
          <w:sz w:val="22"/>
          <w:szCs w:val="22"/>
        </w:rPr>
        <w:t xml:space="preserve"> CGN)</w:t>
      </w:r>
    </w:p>
    <w:p w14:paraId="56A37C87" w14:textId="46C731A1" w:rsidR="004B6F05" w:rsidRPr="00A068FE" w:rsidRDefault="008A5B8E" w:rsidP="0086072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auto"/>
          <w:sz w:val="22"/>
          <w:szCs w:val="22"/>
        </w:rPr>
      </w:pPr>
      <w:r w:rsidRPr="00A068FE">
        <w:rPr>
          <w:rFonts w:cstheme="minorHAnsi"/>
          <w:color w:val="auto"/>
          <w:sz w:val="22"/>
          <w:szCs w:val="22"/>
        </w:rPr>
        <w:t>10</w:t>
      </w:r>
      <w:r w:rsidR="004B6F05" w:rsidRPr="00A068FE">
        <w:rPr>
          <w:rFonts w:cstheme="minorHAnsi"/>
          <w:color w:val="auto"/>
          <w:sz w:val="22"/>
          <w:szCs w:val="22"/>
        </w:rPr>
        <w:t xml:space="preserve"> società</w:t>
      </w:r>
    </w:p>
    <w:p w14:paraId="58ED3004" w14:textId="15027DD5" w:rsidR="004B6F05" w:rsidRPr="00A068FE" w:rsidRDefault="00F31F86" w:rsidP="0086072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auto"/>
          <w:sz w:val="22"/>
          <w:szCs w:val="22"/>
        </w:rPr>
      </w:pPr>
      <w:r w:rsidRPr="00A068FE">
        <w:rPr>
          <w:rFonts w:cstheme="minorHAnsi"/>
          <w:color w:val="auto"/>
          <w:sz w:val="22"/>
          <w:szCs w:val="22"/>
        </w:rPr>
        <w:t>34</w:t>
      </w:r>
      <w:r w:rsidR="004B6F05" w:rsidRPr="00A068FE">
        <w:rPr>
          <w:rFonts w:cstheme="minorHAnsi"/>
          <w:color w:val="auto"/>
          <w:sz w:val="22"/>
          <w:szCs w:val="22"/>
        </w:rPr>
        <w:t xml:space="preserve"> milioni di euro di fatturato consolidato nel 201</w:t>
      </w:r>
      <w:r w:rsidRPr="00A068FE">
        <w:rPr>
          <w:rFonts w:cstheme="minorHAnsi"/>
          <w:color w:val="auto"/>
          <w:sz w:val="22"/>
          <w:szCs w:val="22"/>
        </w:rPr>
        <w:t>9</w:t>
      </w:r>
    </w:p>
    <w:p w14:paraId="1E57F5A7" w14:textId="6A8F007A" w:rsidR="004B6F05" w:rsidRPr="00A068FE" w:rsidRDefault="00423296" w:rsidP="0086072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auto"/>
          <w:sz w:val="22"/>
          <w:szCs w:val="22"/>
        </w:rPr>
      </w:pPr>
      <w:r w:rsidRPr="00A068FE">
        <w:rPr>
          <w:rFonts w:cstheme="minorHAnsi"/>
          <w:color w:val="auto"/>
          <w:sz w:val="22"/>
          <w:szCs w:val="22"/>
        </w:rPr>
        <w:t>255</w:t>
      </w:r>
      <w:r w:rsidR="004B6F05" w:rsidRPr="00A068FE">
        <w:rPr>
          <w:rFonts w:cstheme="minorHAnsi"/>
          <w:color w:val="auto"/>
          <w:sz w:val="22"/>
          <w:szCs w:val="22"/>
        </w:rPr>
        <w:t xml:space="preserve"> collaboratori con età media 3</w:t>
      </w:r>
      <w:r w:rsidR="006D45F0" w:rsidRPr="00A068FE">
        <w:rPr>
          <w:rFonts w:cstheme="minorHAnsi"/>
          <w:color w:val="auto"/>
          <w:sz w:val="22"/>
          <w:szCs w:val="22"/>
        </w:rPr>
        <w:t>7 anni, 80</w:t>
      </w:r>
      <w:r w:rsidRPr="00A068FE">
        <w:rPr>
          <w:rFonts w:cstheme="minorHAnsi"/>
          <w:color w:val="auto"/>
          <w:sz w:val="22"/>
          <w:szCs w:val="22"/>
        </w:rPr>
        <w:t>% laureati, 48</w:t>
      </w:r>
      <w:r w:rsidR="004B6F05" w:rsidRPr="00A068FE">
        <w:rPr>
          <w:rFonts w:cstheme="minorHAnsi"/>
          <w:color w:val="auto"/>
          <w:sz w:val="22"/>
          <w:szCs w:val="22"/>
        </w:rPr>
        <w:t>% donne</w:t>
      </w:r>
      <w:r w:rsidR="00F83E18" w:rsidRPr="00A068FE">
        <w:rPr>
          <w:rFonts w:cstheme="minorHAnsi"/>
          <w:color w:val="auto"/>
          <w:sz w:val="22"/>
          <w:szCs w:val="22"/>
        </w:rPr>
        <w:t>, 78</w:t>
      </w:r>
      <w:r w:rsidR="004B6F05" w:rsidRPr="00A068FE">
        <w:rPr>
          <w:rFonts w:cstheme="minorHAnsi"/>
          <w:color w:val="auto"/>
          <w:sz w:val="22"/>
          <w:szCs w:val="22"/>
        </w:rPr>
        <w:t>% impiegati a tempo indeterminato</w:t>
      </w:r>
    </w:p>
    <w:p w14:paraId="4FD51BB9" w14:textId="65E166CF" w:rsidR="008255FD" w:rsidRPr="00A068FE" w:rsidRDefault="004B6F05" w:rsidP="0086072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color w:val="auto"/>
          <w:sz w:val="22"/>
          <w:szCs w:val="22"/>
          <w:lang w:val="en-GB"/>
        </w:rPr>
      </w:pPr>
      <w:r w:rsidRPr="00A068FE">
        <w:rPr>
          <w:rFonts w:cstheme="minorHAnsi"/>
          <w:i/>
          <w:color w:val="auto"/>
          <w:sz w:val="22"/>
          <w:szCs w:val="22"/>
          <w:lang w:val="en-GB"/>
        </w:rPr>
        <w:t>Great Place to Work</w:t>
      </w:r>
      <w:r w:rsidR="00CB1924" w:rsidRPr="00A068FE">
        <w:rPr>
          <w:rFonts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="00CB1924" w:rsidRPr="00A068FE">
        <w:rPr>
          <w:rFonts w:cstheme="minorHAnsi"/>
          <w:color w:val="auto"/>
          <w:sz w:val="22"/>
          <w:szCs w:val="22"/>
          <w:lang w:val="en-GB"/>
        </w:rPr>
        <w:t>nel</w:t>
      </w:r>
      <w:proofErr w:type="spellEnd"/>
      <w:r w:rsidR="00CB1924" w:rsidRPr="00A068FE">
        <w:rPr>
          <w:rFonts w:cstheme="minorHAnsi"/>
          <w:color w:val="auto"/>
          <w:sz w:val="22"/>
          <w:szCs w:val="22"/>
          <w:lang w:val="en-GB"/>
        </w:rPr>
        <w:t xml:space="preserve"> 2016, 2017 e 2018</w:t>
      </w:r>
    </w:p>
    <w:sectPr w:rsidR="008255FD" w:rsidRPr="00A068FE" w:rsidSect="0067760F">
      <w:headerReference w:type="default" r:id="rId10"/>
      <w:foot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6D70" w14:textId="77777777" w:rsidR="00980597" w:rsidRDefault="00980597" w:rsidP="00CC7A53">
      <w:pPr>
        <w:spacing w:after="0" w:line="240" w:lineRule="auto"/>
      </w:pPr>
      <w:r>
        <w:separator/>
      </w:r>
    </w:p>
  </w:endnote>
  <w:endnote w:type="continuationSeparator" w:id="0">
    <w:p w14:paraId="2256F615" w14:textId="77777777" w:rsidR="00980597" w:rsidRDefault="00980597" w:rsidP="00C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5613" w14:textId="77777777" w:rsidR="00980597" w:rsidRPr="002C192C" w:rsidRDefault="00980597" w:rsidP="002C192C">
    <w:pPr>
      <w:pStyle w:val="Nome"/>
      <w:tabs>
        <w:tab w:val="left" w:pos="4785"/>
      </w:tabs>
      <w:ind w:left="0"/>
      <w:jc w:val="center"/>
      <w:rPr>
        <w:rFonts w:ascii="Arial" w:hAnsi="Arial" w:cs="Arial"/>
        <w:b/>
        <w:noProof/>
        <w:color w:val="auto"/>
        <w:sz w:val="16"/>
        <w:szCs w:val="16"/>
      </w:rPr>
    </w:pPr>
  </w:p>
  <w:p w14:paraId="4784ECA7" w14:textId="37C0DF4F" w:rsidR="00980597" w:rsidRPr="002C192C" w:rsidRDefault="00980597" w:rsidP="002C192C">
    <w:pPr>
      <w:pStyle w:val="Nome"/>
      <w:tabs>
        <w:tab w:val="left" w:pos="4785"/>
      </w:tabs>
      <w:ind w:left="0"/>
      <w:jc w:val="center"/>
      <w:rPr>
        <w:rFonts w:ascii="Arial" w:hAnsi="Arial" w:cs="Arial"/>
        <w:b/>
        <w:noProof/>
        <w:color w:val="auto"/>
        <w:sz w:val="16"/>
        <w:szCs w:val="16"/>
        <w:lang w:val="it-IT"/>
      </w:rPr>
    </w:pPr>
    <w:r>
      <w:rPr>
        <w:rFonts w:ascii="Arial" w:hAnsi="Arial" w:cs="Arial"/>
        <w:b/>
        <w:noProof/>
        <w:color w:val="auto"/>
        <w:sz w:val="16"/>
        <w:szCs w:val="16"/>
        <w:lang w:val="it-IT"/>
      </w:rPr>
      <w:t>Responsabile Relazioni Esterne: Valentina Cigolot</w:t>
    </w:r>
    <w:r w:rsidRPr="002C192C">
      <w:rPr>
        <w:rFonts w:ascii="Arial" w:hAnsi="Arial" w:cs="Arial"/>
        <w:b/>
        <w:noProof/>
        <w:color w:val="auto"/>
        <w:sz w:val="16"/>
        <w:szCs w:val="16"/>
        <w:lang w:val="it-IT"/>
      </w:rPr>
      <w:t xml:space="preserve">, </w:t>
    </w:r>
    <w:r>
      <w:rPr>
        <w:rFonts w:ascii="Arial" w:hAnsi="Arial" w:cs="Arial"/>
        <w:b/>
        <w:noProof/>
        <w:color w:val="auto"/>
        <w:sz w:val="16"/>
        <w:szCs w:val="16"/>
        <w:lang w:val="it-IT"/>
      </w:rPr>
      <w:t>valentina.cigolot</w:t>
    </w:r>
    <w:hyperlink r:id="rId1" w:history="1">
      <w:r w:rsidRPr="002C192C">
        <w:rPr>
          <w:rStyle w:val="Collegamentoipertestuale"/>
          <w:rFonts w:ascii="Arial" w:hAnsi="Arial" w:cs="Arial"/>
          <w:b/>
          <w:noProof/>
          <w:color w:val="auto"/>
          <w:sz w:val="16"/>
          <w:szCs w:val="16"/>
          <w:u w:val="none"/>
          <w:lang w:val="it-IT"/>
        </w:rPr>
        <w:t>@cgn.it</w:t>
      </w:r>
    </w:hyperlink>
    <w:r w:rsidRPr="002C192C">
      <w:rPr>
        <w:rFonts w:ascii="Arial" w:hAnsi="Arial" w:cs="Arial"/>
        <w:b/>
        <w:noProof/>
        <w:color w:val="auto"/>
        <w:sz w:val="16"/>
        <w:szCs w:val="16"/>
        <w:lang w:val="it-IT"/>
      </w:rPr>
      <w:t xml:space="preserve">, </w:t>
    </w:r>
    <w:r>
      <w:rPr>
        <w:rFonts w:ascii="Arial" w:hAnsi="Arial" w:cs="Arial"/>
        <w:b/>
        <w:noProof/>
        <w:color w:val="auto"/>
        <w:sz w:val="16"/>
        <w:szCs w:val="16"/>
        <w:lang w:val="it-IT"/>
      </w:rPr>
      <w:t>cell. 347 7288795</w:t>
    </w:r>
  </w:p>
  <w:p w14:paraId="4EBA1F17" w14:textId="11ED3565" w:rsidR="00980597" w:rsidRPr="002C192C" w:rsidRDefault="00980597" w:rsidP="002C192C">
    <w:pPr>
      <w:pStyle w:val="Nome"/>
      <w:tabs>
        <w:tab w:val="left" w:pos="4785"/>
      </w:tabs>
      <w:ind w:left="0"/>
      <w:jc w:val="center"/>
      <w:rPr>
        <w:rFonts w:ascii="Arial" w:hAnsi="Arial" w:cs="Arial"/>
        <w:noProof/>
        <w:color w:val="auto"/>
        <w:sz w:val="16"/>
        <w:szCs w:val="16"/>
        <w:lang w:val="it-IT"/>
      </w:rPr>
    </w:pPr>
    <w:r w:rsidRPr="002C192C">
      <w:rPr>
        <w:rFonts w:ascii="Arial" w:hAnsi="Arial" w:cs="Arial"/>
        <w:noProof/>
        <w:color w:val="auto"/>
        <w:sz w:val="16"/>
        <w:szCs w:val="16"/>
        <w:lang w:val="it-IT"/>
      </w:rPr>
      <w:t xml:space="preserve">SERVIZI CGN SRL - Via Jacopo Linussio, 1 - 33170 Pordenone (PN) </w:t>
    </w:r>
    <w:r>
      <w:rPr>
        <w:rFonts w:ascii="Arial" w:hAnsi="Arial" w:cs="Arial"/>
        <w:noProof/>
        <w:color w:val="auto"/>
        <w:sz w:val="16"/>
        <w:szCs w:val="16"/>
        <w:lang w:val="it-IT"/>
      </w:rPr>
      <w:t>-</w:t>
    </w:r>
    <w:r w:rsidRPr="002C192C">
      <w:rPr>
        <w:rFonts w:ascii="Arial" w:hAnsi="Arial" w:cs="Arial"/>
        <w:noProof/>
        <w:color w:val="auto"/>
        <w:sz w:val="16"/>
        <w:szCs w:val="16"/>
        <w:lang w:val="it-IT"/>
      </w:rPr>
      <w:t xml:space="preserve">  www.cgn.it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A3C6" w14:textId="77777777" w:rsidR="00980597" w:rsidRDefault="00980597" w:rsidP="00CC7A53">
      <w:pPr>
        <w:spacing w:after="0" w:line="240" w:lineRule="auto"/>
      </w:pPr>
      <w:r>
        <w:separator/>
      </w:r>
    </w:p>
  </w:footnote>
  <w:footnote w:type="continuationSeparator" w:id="0">
    <w:p w14:paraId="6D8B671E" w14:textId="77777777" w:rsidR="00980597" w:rsidRDefault="00980597" w:rsidP="00C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570F" w14:textId="442B1FB5" w:rsidR="00980597" w:rsidRPr="004F39EE" w:rsidRDefault="00980597" w:rsidP="004F39EE">
    <w:pPr>
      <w:pStyle w:val="Intestazione"/>
      <w:tabs>
        <w:tab w:val="clear" w:pos="4819"/>
        <w:tab w:val="clear" w:pos="9638"/>
        <w:tab w:val="left" w:pos="8085"/>
      </w:tabs>
      <w:rPr>
        <w:noProof/>
        <w:u w:val="single"/>
        <w:lang w:eastAsia="it-IT"/>
      </w:rPr>
    </w:pPr>
    <w:r w:rsidRPr="006909F4">
      <w:rPr>
        <w:noProof/>
        <w:lang w:eastAsia="it-IT"/>
      </w:rPr>
      <w:drawing>
        <wp:inline distT="0" distB="0" distL="0" distR="0" wp14:anchorId="6D67E768" wp14:editId="1113B2E5">
          <wp:extent cx="500400" cy="60120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n_logo_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F24">
      <w:t xml:space="preserve">                                                                                                                            </w:t>
    </w:r>
    <w:r>
      <w:t xml:space="preserve">   </w:t>
    </w:r>
    <w:r>
      <w:rPr>
        <w:rFonts w:eastAsia="Times New Roman" w:cs="Arial"/>
        <w:bCs/>
        <w:noProof/>
        <w:color w:val="auto"/>
        <w:kern w:val="0"/>
        <w:sz w:val="22"/>
        <w:szCs w:val="22"/>
        <w:lang w:eastAsia="it-IT"/>
      </w:rPr>
      <w:drawing>
        <wp:inline distT="0" distB="0" distL="0" distR="0" wp14:anchorId="792EDCF6" wp14:editId="418C99CD">
          <wp:extent cx="1966595" cy="738239"/>
          <wp:effectExtent l="0" t="0" r="0" b="5080"/>
          <wp:docPr id="1" name="Immagine 1" descr="C:\Users\valcig\AppData\Local\Microsoft\Windows\INetCache\Content.Word\PrimaLuceLab_logo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lcig\AppData\Local\Microsoft\Windows\INetCache\Content.Word\PrimaLuceLab_logo L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904" cy="78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842"/>
    <w:multiLevelType w:val="hybridMultilevel"/>
    <w:tmpl w:val="BEC2C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E04"/>
    <w:multiLevelType w:val="hybridMultilevel"/>
    <w:tmpl w:val="EE72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F1495"/>
    <w:multiLevelType w:val="hybridMultilevel"/>
    <w:tmpl w:val="8EC0F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E"/>
    <w:rsid w:val="000006A5"/>
    <w:rsid w:val="00014619"/>
    <w:rsid w:val="00017A27"/>
    <w:rsid w:val="000342B6"/>
    <w:rsid w:val="000B1CAB"/>
    <w:rsid w:val="000D4FB9"/>
    <w:rsid w:val="000F0CDC"/>
    <w:rsid w:val="00126ECF"/>
    <w:rsid w:val="00167788"/>
    <w:rsid w:val="00222E0A"/>
    <w:rsid w:val="0022739B"/>
    <w:rsid w:val="00230722"/>
    <w:rsid w:val="0025722A"/>
    <w:rsid w:val="002622CD"/>
    <w:rsid w:val="002877FB"/>
    <w:rsid w:val="00294AE5"/>
    <w:rsid w:val="002B2A2E"/>
    <w:rsid w:val="002C192C"/>
    <w:rsid w:val="003322AC"/>
    <w:rsid w:val="003378B7"/>
    <w:rsid w:val="0034198D"/>
    <w:rsid w:val="00370022"/>
    <w:rsid w:val="00374DA9"/>
    <w:rsid w:val="00387FD8"/>
    <w:rsid w:val="003A17EC"/>
    <w:rsid w:val="003A260B"/>
    <w:rsid w:val="003D5088"/>
    <w:rsid w:val="003F2BE1"/>
    <w:rsid w:val="00420040"/>
    <w:rsid w:val="00421094"/>
    <w:rsid w:val="00423296"/>
    <w:rsid w:val="00441522"/>
    <w:rsid w:val="00456FC1"/>
    <w:rsid w:val="00484D15"/>
    <w:rsid w:val="00493D90"/>
    <w:rsid w:val="004B54DA"/>
    <w:rsid w:val="004B6F05"/>
    <w:rsid w:val="004D64FD"/>
    <w:rsid w:val="004E58D8"/>
    <w:rsid w:val="004F39EE"/>
    <w:rsid w:val="005179C5"/>
    <w:rsid w:val="0055517B"/>
    <w:rsid w:val="0057078D"/>
    <w:rsid w:val="005939C9"/>
    <w:rsid w:val="005C10DE"/>
    <w:rsid w:val="00626CBD"/>
    <w:rsid w:val="006332B9"/>
    <w:rsid w:val="0067760F"/>
    <w:rsid w:val="006909F4"/>
    <w:rsid w:val="006B605D"/>
    <w:rsid w:val="006D45F0"/>
    <w:rsid w:val="00706295"/>
    <w:rsid w:val="007337A2"/>
    <w:rsid w:val="007662FC"/>
    <w:rsid w:val="007B35F2"/>
    <w:rsid w:val="007E457A"/>
    <w:rsid w:val="00804711"/>
    <w:rsid w:val="008255FD"/>
    <w:rsid w:val="00834C97"/>
    <w:rsid w:val="008361EE"/>
    <w:rsid w:val="00860728"/>
    <w:rsid w:val="00864194"/>
    <w:rsid w:val="00872D2F"/>
    <w:rsid w:val="00874297"/>
    <w:rsid w:val="00881B91"/>
    <w:rsid w:val="008A2D5F"/>
    <w:rsid w:val="008A54A4"/>
    <w:rsid w:val="008A5B8E"/>
    <w:rsid w:val="008D2E62"/>
    <w:rsid w:val="00911E1E"/>
    <w:rsid w:val="00980597"/>
    <w:rsid w:val="009906FE"/>
    <w:rsid w:val="00996007"/>
    <w:rsid w:val="009A6793"/>
    <w:rsid w:val="009A7E0D"/>
    <w:rsid w:val="009C5747"/>
    <w:rsid w:val="009D33A1"/>
    <w:rsid w:val="009D797F"/>
    <w:rsid w:val="009E7E5C"/>
    <w:rsid w:val="009F1CA5"/>
    <w:rsid w:val="009F7404"/>
    <w:rsid w:val="00A00173"/>
    <w:rsid w:val="00A068FE"/>
    <w:rsid w:val="00A15E96"/>
    <w:rsid w:val="00A313A7"/>
    <w:rsid w:val="00A329B4"/>
    <w:rsid w:val="00A653C0"/>
    <w:rsid w:val="00A66639"/>
    <w:rsid w:val="00A96C84"/>
    <w:rsid w:val="00AA3974"/>
    <w:rsid w:val="00AA46A8"/>
    <w:rsid w:val="00B3137D"/>
    <w:rsid w:val="00B53069"/>
    <w:rsid w:val="00B871F0"/>
    <w:rsid w:val="00BD3C1D"/>
    <w:rsid w:val="00BD49DD"/>
    <w:rsid w:val="00BE1FFF"/>
    <w:rsid w:val="00C1142C"/>
    <w:rsid w:val="00C62344"/>
    <w:rsid w:val="00CA1A31"/>
    <w:rsid w:val="00CA32F5"/>
    <w:rsid w:val="00CB1924"/>
    <w:rsid w:val="00CC09C2"/>
    <w:rsid w:val="00CC7A53"/>
    <w:rsid w:val="00CD212E"/>
    <w:rsid w:val="00CF3DFA"/>
    <w:rsid w:val="00D3322C"/>
    <w:rsid w:val="00D74675"/>
    <w:rsid w:val="00D82CDD"/>
    <w:rsid w:val="00DB1A0F"/>
    <w:rsid w:val="00DE3B3B"/>
    <w:rsid w:val="00E43265"/>
    <w:rsid w:val="00E5414D"/>
    <w:rsid w:val="00E669B1"/>
    <w:rsid w:val="00E71AEF"/>
    <w:rsid w:val="00E75358"/>
    <w:rsid w:val="00E8205E"/>
    <w:rsid w:val="00ED04BB"/>
    <w:rsid w:val="00ED1F73"/>
    <w:rsid w:val="00ED4EEE"/>
    <w:rsid w:val="00ED7418"/>
    <w:rsid w:val="00EE7565"/>
    <w:rsid w:val="00F1387E"/>
    <w:rsid w:val="00F17C1E"/>
    <w:rsid w:val="00F2013D"/>
    <w:rsid w:val="00F31DF8"/>
    <w:rsid w:val="00F31F86"/>
    <w:rsid w:val="00F442BF"/>
    <w:rsid w:val="00F45F24"/>
    <w:rsid w:val="00F83E18"/>
    <w:rsid w:val="00F95AB8"/>
    <w:rsid w:val="00FA29BE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43C894"/>
  <w15:chartTrackingRefBased/>
  <w15:docId w15:val="{443AD178-E1B7-4061-B4A6-04959633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A53"/>
    <w:pPr>
      <w:spacing w:after="300" w:line="276" w:lineRule="auto"/>
    </w:pPr>
    <w:rPr>
      <w:color w:val="323E4F" w:themeColor="text2" w:themeShade="BF"/>
      <w:kern w:val="1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A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53"/>
    <w:rPr>
      <w:color w:val="323E4F" w:themeColor="text2" w:themeShade="BF"/>
      <w:kern w:val="16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C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A53"/>
    <w:rPr>
      <w:color w:val="323E4F" w:themeColor="text2" w:themeShade="BF"/>
      <w:kern w:val="16"/>
      <w:sz w:val="20"/>
      <w:szCs w:val="20"/>
    </w:rPr>
  </w:style>
  <w:style w:type="paragraph" w:customStyle="1" w:styleId="Nome">
    <w:name w:val="Nome"/>
    <w:basedOn w:val="Normale"/>
    <w:uiPriority w:val="1"/>
    <w:qFormat/>
    <w:rsid w:val="00CC7A53"/>
    <w:pPr>
      <w:spacing w:after="0" w:line="240" w:lineRule="auto"/>
      <w:ind w:left="-360"/>
    </w:pPr>
    <w:rPr>
      <w:rFonts w:asciiTheme="majorHAnsi" w:hAnsiTheme="majorHAnsi"/>
      <w:color w:val="C45911" w:themeColor="accent2" w:themeShade="BF"/>
      <w:sz w:val="48"/>
      <w:szCs w:val="48"/>
      <w:lang w:val="en-US"/>
    </w:rPr>
  </w:style>
  <w:style w:type="paragraph" w:styleId="Nessunaspaziatura">
    <w:name w:val="No Spacing"/>
    <w:uiPriority w:val="1"/>
    <w:qFormat/>
    <w:rsid w:val="00B871F0"/>
    <w:pPr>
      <w:spacing w:after="0" w:line="240" w:lineRule="auto"/>
    </w:pPr>
    <w:rPr>
      <w:color w:val="323E4F" w:themeColor="text2" w:themeShade="BF"/>
      <w:kern w:val="16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1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.bertani@cg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6599584546E4A893AB6C94369013E" ma:contentTypeVersion="7" ma:contentTypeDescription="Creare un nuovo documento." ma:contentTypeScope="" ma:versionID="fa18ff55f66a6e512ac25dfb9b181369">
  <xsd:schema xmlns:xsd="http://www.w3.org/2001/XMLSchema" xmlns:xs="http://www.w3.org/2001/XMLSchema" xmlns:p="http://schemas.microsoft.com/office/2006/metadata/properties" xmlns:ns2="0e5ad99a-4943-4e11-a1dc-3b4823cb892d" xmlns:ns3="710455d0-f639-4cc1-a887-3b471ce17ea6" targetNamespace="http://schemas.microsoft.com/office/2006/metadata/properties" ma:root="true" ma:fieldsID="afda273a36cc8db15d6d6781719607d4" ns2:_="" ns3:_="">
    <xsd:import namespace="0e5ad99a-4943-4e11-a1dc-3b4823cb892d"/>
    <xsd:import namespace="710455d0-f639-4cc1-a887-3b471ce17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ad99a-4943-4e11-a1dc-3b4823cb8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55d0-f639-4cc1-a887-3b471ce17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AB3F9-150A-42F6-A9A3-3F9B1F9CC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ad99a-4943-4e11-a1dc-3b4823cb892d"/>
    <ds:schemaRef ds:uri="710455d0-f639-4cc1-a887-3b471ce17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82BB7-4A71-4677-9807-E2073E7F0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CB43-AB19-43BD-A337-AD6D65E80A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281A8B27.dotm</Template>
  <TotalTime>133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Antonini</dc:creator>
  <cp:keywords/>
  <dc:description/>
  <cp:lastModifiedBy>Valentina Cigolot</cp:lastModifiedBy>
  <cp:revision>144</cp:revision>
  <dcterms:created xsi:type="dcterms:W3CDTF">2020-08-27T13:01:00Z</dcterms:created>
  <dcterms:modified xsi:type="dcterms:W3CDTF">2020-12-14T08:20:00Z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0x01010017D6599584546E4A893AB6C94369013E</vt:lpwstr>
  </property>
</Properties>
</file>